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2C18" w14:textId="77777777" w:rsidR="00BE65CC" w:rsidRPr="00331432" w:rsidRDefault="00BE65CC" w:rsidP="00BE65CC">
      <w:pPr>
        <w:pStyle w:val="Heading2"/>
        <w:spacing w:before="120" w:after="0"/>
        <w:ind w:left="2880" w:right="96" w:firstLine="720"/>
        <w:jc w:val="left"/>
        <w:rPr>
          <w:rFonts w:ascii="Times New Roman" w:hAnsi="Times New Roman"/>
          <w:color w:val="000000" w:themeColor="text1"/>
          <w:spacing w:val="-6"/>
          <w:sz w:val="26"/>
          <w:szCs w:val="26"/>
          <w:lang w:val="vi-VN"/>
        </w:rPr>
      </w:pPr>
      <w:bookmarkStart w:id="0" w:name="_GoBack"/>
      <w:bookmarkEnd w:id="0"/>
      <w:r w:rsidRPr="00331432">
        <w:rPr>
          <w:rFonts w:ascii="Times New Roman" w:hAnsi="Times New Roman"/>
          <w:color w:val="000000" w:themeColor="text1"/>
          <w:spacing w:val="-6"/>
          <w:sz w:val="26"/>
          <w:szCs w:val="26"/>
          <w:lang w:val="vi-VN"/>
        </w:rPr>
        <w:t>THÔNG TƯ</w:t>
      </w:r>
    </w:p>
    <w:p w14:paraId="6E9388A1" w14:textId="77777777" w:rsidR="00BE65CC" w:rsidRPr="00331432" w:rsidRDefault="00BE65CC" w:rsidP="00BE65CC">
      <w:pPr>
        <w:jc w:val="center"/>
        <w:rPr>
          <w:b/>
          <w:bCs/>
          <w:color w:val="000000" w:themeColor="text1"/>
          <w:spacing w:val="-6"/>
          <w:sz w:val="26"/>
          <w:szCs w:val="26"/>
          <w:lang w:val="vi-VN"/>
        </w:rPr>
      </w:pPr>
      <w:r w:rsidRPr="00331432">
        <w:rPr>
          <w:b/>
          <w:bCs/>
          <w:color w:val="000000" w:themeColor="text1"/>
          <w:spacing w:val="-6"/>
          <w:sz w:val="26"/>
          <w:szCs w:val="26"/>
          <w:lang w:val="vi-VN"/>
        </w:rPr>
        <w:t>Ban hành Quy chế đào tạo trình độ thạc sĩ</w:t>
      </w:r>
    </w:p>
    <w:p w14:paraId="2CED88B1" w14:textId="77777777" w:rsidR="00BE65CC" w:rsidRPr="00331432" w:rsidRDefault="00BE65CC" w:rsidP="00BE65CC">
      <w:pPr>
        <w:pStyle w:val="Heading1"/>
        <w:jc w:val="center"/>
        <w:rPr>
          <w:rFonts w:ascii="Times New Roman" w:hAnsi="Times New Roman" w:cs="Times New Roman"/>
          <w:color w:val="000000" w:themeColor="text1"/>
          <w:sz w:val="26"/>
          <w:szCs w:val="26"/>
        </w:rPr>
      </w:pPr>
      <w:r w:rsidRPr="00331432">
        <w:rPr>
          <w:rFonts w:ascii="Times New Roman" w:hAnsi="Times New Roman" w:cs="Times New Roman"/>
          <w:color w:val="000000" w:themeColor="text1"/>
          <w:sz w:val="26"/>
          <w:szCs w:val="26"/>
        </w:rPr>
        <w:t>Số: 15 /2014/TT-BGDĐT</w:t>
      </w:r>
    </w:p>
    <w:p w14:paraId="6B516CB7" w14:textId="77777777" w:rsidR="00BE65CC" w:rsidRPr="00331432" w:rsidRDefault="00BE65CC" w:rsidP="00331432">
      <w:pPr>
        <w:spacing w:before="120" w:after="120" w:line="360" w:lineRule="exact"/>
        <w:jc w:val="both"/>
        <w:rPr>
          <w:color w:val="000000" w:themeColor="text1"/>
          <w:sz w:val="26"/>
          <w:szCs w:val="26"/>
          <w:lang w:val="vi-VN"/>
        </w:rPr>
      </w:pPr>
    </w:p>
    <w:p w14:paraId="2DC498F3" w14:textId="77777777" w:rsidR="00BE65CC" w:rsidRPr="00331432" w:rsidRDefault="00BE65CC" w:rsidP="00BE65CC">
      <w:pPr>
        <w:spacing w:before="120" w:after="120" w:line="360" w:lineRule="exact"/>
        <w:ind w:firstLine="560"/>
        <w:jc w:val="both"/>
        <w:rPr>
          <w:color w:val="000000" w:themeColor="text1"/>
          <w:sz w:val="26"/>
          <w:szCs w:val="26"/>
          <w:lang w:val="vi-VN"/>
        </w:rPr>
      </w:pPr>
      <w:r w:rsidRPr="00331432">
        <w:rPr>
          <w:color w:val="000000" w:themeColor="text1"/>
          <w:sz w:val="26"/>
          <w:szCs w:val="26"/>
          <w:lang w:val="vi-VN"/>
        </w:rPr>
        <w:t xml:space="preserve">3. Thí sinh có năng lực ngoại ngữ đúng với yêu cầu môn thi ngoại ngữ của cơ sở đào tạo thuộc một trong các trường hợp sau được miễn thi môn ngoại ngữ:  </w:t>
      </w:r>
    </w:p>
    <w:p w14:paraId="6A2C6E7A" w14:textId="77777777" w:rsidR="00BE65CC" w:rsidRPr="00331432" w:rsidRDefault="00BE65CC" w:rsidP="00BE65CC">
      <w:pPr>
        <w:spacing w:before="120" w:after="120" w:line="360" w:lineRule="exact"/>
        <w:ind w:firstLine="560"/>
        <w:jc w:val="both"/>
        <w:rPr>
          <w:color w:val="000000" w:themeColor="text1"/>
          <w:sz w:val="26"/>
          <w:szCs w:val="26"/>
          <w:lang w:val="vi-VN"/>
        </w:rPr>
      </w:pPr>
      <w:r w:rsidRPr="00331432">
        <w:rPr>
          <w:color w:val="000000" w:themeColor="text1"/>
          <w:sz w:val="26"/>
          <w:szCs w:val="26"/>
          <w:lang w:val="vi-VN"/>
        </w:rPr>
        <w:t>a) Có bằng tốt nghiệp đại học, thạc sĩ, tiến sĩ được đào tạo toàn thời gian ở nước ngoài, được cơ quan có thẩm quyền công nhận văn bằng theo quy định hiện hành;</w:t>
      </w:r>
    </w:p>
    <w:p w14:paraId="4597341C" w14:textId="77777777" w:rsidR="00BE65CC" w:rsidRPr="00331432" w:rsidRDefault="00BE65CC" w:rsidP="00BE65CC">
      <w:pPr>
        <w:spacing w:before="120" w:after="120" w:line="360" w:lineRule="exact"/>
        <w:ind w:firstLine="560"/>
        <w:jc w:val="both"/>
        <w:rPr>
          <w:color w:val="000000" w:themeColor="text1"/>
          <w:sz w:val="26"/>
          <w:szCs w:val="26"/>
          <w:lang w:val="vi-VN"/>
        </w:rPr>
      </w:pPr>
      <w:r w:rsidRPr="00331432">
        <w:rPr>
          <w:color w:val="000000" w:themeColor="text1"/>
          <w:sz w:val="26"/>
          <w:szCs w:val="26"/>
          <w:lang w:val="vi-VN"/>
        </w:rPr>
        <w:t>b) Có bằng tốt nghiệp đại học chương trình tiên tiến theo Đề án của Bộ Giáo dục và Đào tạo về đào tạo chương trình tiên tiến ở một số trường đại học của Việt Nam hoặc bằng kỹ sư chất lượng cao (PFIEV) được ủy ban bằng cấp kỹ sư (CTI, Pháp) công nhận, có đối tác nước ngoài cùng cấp bằng;</w:t>
      </w:r>
    </w:p>
    <w:p w14:paraId="54B6DE54" w14:textId="77777777" w:rsidR="00BE65CC" w:rsidRPr="00331432" w:rsidRDefault="00BE65CC" w:rsidP="00BE65CC">
      <w:pPr>
        <w:spacing w:before="120" w:after="120" w:line="360" w:lineRule="exact"/>
        <w:ind w:firstLine="560"/>
        <w:jc w:val="both"/>
        <w:rPr>
          <w:color w:val="000000" w:themeColor="text1"/>
          <w:sz w:val="26"/>
          <w:szCs w:val="26"/>
          <w:lang w:val="vi-VN"/>
        </w:rPr>
      </w:pPr>
      <w:r w:rsidRPr="00331432">
        <w:rPr>
          <w:color w:val="000000" w:themeColor="text1"/>
          <w:sz w:val="26"/>
          <w:szCs w:val="26"/>
          <w:lang w:val="vi-VN"/>
        </w:rPr>
        <w:t xml:space="preserve">c) Có bằng tốt nghiệp đại học ngành ngôn ngữ nước ngoài; </w:t>
      </w:r>
    </w:p>
    <w:p w14:paraId="60FC9808" w14:textId="766A2283" w:rsidR="00BE65CC" w:rsidRPr="00331432" w:rsidRDefault="00BE65CC" w:rsidP="00331432">
      <w:pPr>
        <w:spacing w:before="120" w:after="120" w:line="360" w:lineRule="exact"/>
        <w:ind w:firstLine="560"/>
        <w:jc w:val="both"/>
        <w:rPr>
          <w:color w:val="000000" w:themeColor="text1"/>
          <w:sz w:val="26"/>
          <w:szCs w:val="26"/>
          <w:lang w:val="en-US"/>
        </w:rPr>
      </w:pPr>
      <w:r w:rsidRPr="00331432">
        <w:rPr>
          <w:color w:val="000000" w:themeColor="text1"/>
          <w:sz w:val="26"/>
          <w:szCs w:val="26"/>
          <w:lang w:val="vi-VN"/>
        </w:rPr>
        <w:t>d) Có chứng chỉ trình độ ngoại ngữ được quy định tại Điểm b, Khoản 2, Điều 27 Quy chế này hoặc tương đương (Phụ lục II) trong thời hạn 2 năm từ ngày cấp chứng chỉ đến ngày đăng ký dự thi, được cấp bởi một cơ sở được Bộ Giáo dục và Đào tạo cho phép hoặc công nhận</w:t>
      </w:r>
      <w:r w:rsidRPr="00331432">
        <w:rPr>
          <w:bCs/>
          <w:color w:val="000000" w:themeColor="text1"/>
          <w:sz w:val="26"/>
          <w:szCs w:val="26"/>
          <w:lang w:val="vi-VN"/>
        </w:rPr>
        <w:t>. T</w:t>
      </w:r>
      <w:r w:rsidRPr="00331432">
        <w:rPr>
          <w:color w:val="000000" w:themeColor="text1"/>
          <w:sz w:val="26"/>
          <w:szCs w:val="26"/>
          <w:lang w:val="vi-VN"/>
        </w:rPr>
        <w:t xml:space="preserve">hủ trưởng cơ sở đào tạo phải thẩm định và chịu trách nhiệm về tính xác thực của chứng chỉ ngoại ngữ trước khi công nhận tương đương theo Phụ lục </w:t>
      </w:r>
    </w:p>
    <w:p w14:paraId="39623628" w14:textId="7F54D82F" w:rsidR="00B50D7D" w:rsidRPr="00331432" w:rsidRDefault="00B50D7D" w:rsidP="00331432">
      <w:pPr>
        <w:spacing w:before="120" w:line="360" w:lineRule="atLeast"/>
        <w:ind w:firstLine="720"/>
        <w:jc w:val="both"/>
        <w:rPr>
          <w:color w:val="000000" w:themeColor="text1"/>
          <w:spacing w:val="-2"/>
          <w:sz w:val="26"/>
          <w:szCs w:val="26"/>
          <w:lang w:val="vi-VN"/>
        </w:rPr>
      </w:pPr>
      <w:r w:rsidRPr="00331432">
        <w:rPr>
          <w:color w:val="000000" w:themeColor="text1"/>
          <w:spacing w:val="-2"/>
          <w:sz w:val="26"/>
          <w:szCs w:val="26"/>
          <w:lang w:val="vi-VN"/>
        </w:rPr>
        <w:t xml:space="preserve">2. Dạng thức đề thi (đầu vào) do thủ trưởng cơ sở đào tạo quyết định trên cơ sở đề nghị của trưởng đơn vị chuyên môn, được nêu rõ trong thông báo tuyển sinh. Dạng thức đề thi môn ngoại ngữ phải đảm bảo xác định được trình độ ngoại ngữ theo quy định của cơ sở đào tạo, căn cứ vào Khung năng lực ngoại ngữ 6 bậc dùng cho Việt Nam do Bộ Giáo dục và Đào tạo ban hành (sau đây gọi là Khung năng lực ngoại ngữ 6 bậc dùng cho Việt Nam). </w:t>
      </w:r>
    </w:p>
    <w:p w14:paraId="6B8C93DF" w14:textId="60BAF4F9" w:rsidR="009959C0" w:rsidRPr="00331432" w:rsidRDefault="00141010" w:rsidP="00331432">
      <w:pPr>
        <w:adjustRightInd w:val="0"/>
        <w:spacing w:before="120" w:after="120" w:line="360" w:lineRule="exact"/>
        <w:ind w:firstLine="560"/>
        <w:jc w:val="both"/>
        <w:rPr>
          <w:color w:val="000000" w:themeColor="text1"/>
          <w:sz w:val="26"/>
          <w:szCs w:val="26"/>
          <w:lang w:val="vi-VN"/>
        </w:rPr>
      </w:pPr>
      <w:r w:rsidRPr="00331432">
        <w:rPr>
          <w:color w:val="000000" w:themeColor="text1"/>
          <w:sz w:val="26"/>
          <w:szCs w:val="26"/>
          <w:lang w:val="vi-VN"/>
        </w:rPr>
        <w:t>b) Học phần ngoại ngữ: căn cứ trình độ ngoại ngữ của người trúng tuyển và yêu cầu về trình độ ngoại ngữ trước khi bảo vệ luận văn được quy định tại Điểm b, Khoản 2, Điều 27 Quy chế này, cơ sở đào tạo quy định khối lượng học tập học phần ngoại ngữ phù hợp.</w:t>
      </w:r>
    </w:p>
    <w:p w14:paraId="43D1AFB6" w14:textId="77777777" w:rsidR="009959C0" w:rsidRPr="00331432" w:rsidRDefault="009959C0" w:rsidP="009959C0">
      <w:pPr>
        <w:spacing w:before="120" w:after="120" w:line="360" w:lineRule="exact"/>
        <w:ind w:firstLine="560"/>
        <w:jc w:val="both"/>
        <w:rPr>
          <w:color w:val="000000" w:themeColor="text1"/>
          <w:sz w:val="26"/>
          <w:szCs w:val="26"/>
          <w:lang w:val="vi-VN"/>
        </w:rPr>
      </w:pPr>
      <w:r w:rsidRPr="00331432">
        <w:rPr>
          <w:color w:val="000000" w:themeColor="text1"/>
          <w:sz w:val="26"/>
          <w:szCs w:val="26"/>
          <w:lang w:val="vi-VN"/>
        </w:rPr>
        <w:t xml:space="preserve">5. Cơ sở đào tạo không bắt buộc học viên phải học học phần ngoại ngữ tại cơ sở mình nhưng phải tổ chức giảng dạy (nếu học viên có nhu cầu) và đánh giá học phần theo quy định tại Khoản 4, Điều 25 của Quy chế này. </w:t>
      </w:r>
    </w:p>
    <w:p w14:paraId="0B11C57B" w14:textId="77777777" w:rsidR="009959C0" w:rsidRPr="00331432" w:rsidRDefault="009959C0" w:rsidP="00141010">
      <w:pPr>
        <w:adjustRightInd w:val="0"/>
        <w:spacing w:before="120" w:after="120" w:line="360" w:lineRule="exact"/>
        <w:ind w:firstLine="560"/>
        <w:jc w:val="both"/>
        <w:rPr>
          <w:color w:val="000000" w:themeColor="text1"/>
          <w:sz w:val="26"/>
          <w:szCs w:val="26"/>
          <w:lang w:val="vi-VN"/>
        </w:rPr>
      </w:pPr>
    </w:p>
    <w:p w14:paraId="3765BE12" w14:textId="77777777" w:rsidR="009959C0" w:rsidRPr="00331432" w:rsidRDefault="009959C0" w:rsidP="009959C0">
      <w:pPr>
        <w:spacing w:before="120" w:after="120" w:line="360" w:lineRule="exact"/>
        <w:ind w:firstLine="560"/>
        <w:jc w:val="both"/>
        <w:rPr>
          <w:bCs/>
          <w:color w:val="000000" w:themeColor="text1"/>
          <w:sz w:val="26"/>
          <w:szCs w:val="26"/>
          <w:lang w:val="vi-VN"/>
        </w:rPr>
      </w:pPr>
      <w:r w:rsidRPr="00331432">
        <w:rPr>
          <w:color w:val="000000" w:themeColor="text1"/>
          <w:spacing w:val="-2"/>
          <w:sz w:val="26"/>
          <w:szCs w:val="26"/>
          <w:lang w:val="vi-VN"/>
        </w:rPr>
        <w:t>4. Đối với học phần ngoại ngữ (bao gồm</w:t>
      </w:r>
      <w:r w:rsidRPr="00331432">
        <w:rPr>
          <w:color w:val="000000" w:themeColor="text1"/>
          <w:sz w:val="26"/>
          <w:szCs w:val="26"/>
          <w:lang w:val="vi-VN"/>
        </w:rPr>
        <w:t xml:space="preserve"> cả ngoại ngữ thứ hai cho học viên theo học ngành, chuyên ngành ngôn ngữ nước ngoài</w:t>
      </w:r>
      <w:r w:rsidRPr="00331432">
        <w:rPr>
          <w:color w:val="000000" w:themeColor="text1"/>
          <w:spacing w:val="-2"/>
          <w:sz w:val="26"/>
          <w:szCs w:val="26"/>
          <w:lang w:val="vi-VN"/>
        </w:rPr>
        <w:t xml:space="preserve">): Căn cứ vào Khung năng lực ngoại ngữ </w:t>
      </w:r>
      <w:r w:rsidRPr="00331432">
        <w:rPr>
          <w:color w:val="000000" w:themeColor="text1"/>
          <w:spacing w:val="-2"/>
          <w:sz w:val="26"/>
          <w:szCs w:val="26"/>
          <w:lang w:val="vi-VN"/>
        </w:rPr>
        <w:lastRenderedPageBreak/>
        <w:t>6 bậc dùng cho Việt Nam và Điểm b, Khoản 2, Điều 27 của Quy chế này</w:t>
      </w:r>
      <w:r w:rsidRPr="00331432">
        <w:rPr>
          <w:color w:val="000000" w:themeColor="text1"/>
          <w:sz w:val="26"/>
          <w:szCs w:val="26"/>
          <w:lang w:val="vi-VN"/>
        </w:rPr>
        <w:t xml:space="preserve">, </w:t>
      </w:r>
      <w:r w:rsidRPr="00331432">
        <w:rPr>
          <w:bCs/>
          <w:color w:val="000000" w:themeColor="text1"/>
          <w:sz w:val="26"/>
          <w:szCs w:val="26"/>
          <w:lang w:val="vi-VN"/>
        </w:rPr>
        <w:t xml:space="preserve">Thủ trưởng cơ sở đào tạo tổ chức đánh giá học phần ngoại ngữ của học viên (bao gồm cả </w:t>
      </w:r>
      <w:r w:rsidRPr="00331432">
        <w:rPr>
          <w:color w:val="000000" w:themeColor="text1"/>
          <w:sz w:val="26"/>
          <w:szCs w:val="26"/>
          <w:lang w:val="vi-VN"/>
        </w:rPr>
        <w:t>học viên không đăng ký học ngoại ngữ tại cơ sở đào tạo</w:t>
      </w:r>
      <w:r w:rsidRPr="00331432">
        <w:rPr>
          <w:bCs/>
          <w:color w:val="000000" w:themeColor="text1"/>
          <w:sz w:val="26"/>
          <w:szCs w:val="26"/>
          <w:lang w:val="vi-VN"/>
        </w:rPr>
        <w:t xml:space="preserve">). </w:t>
      </w:r>
    </w:p>
    <w:p w14:paraId="5539789A" w14:textId="77777777" w:rsidR="009959C0" w:rsidRPr="00331432" w:rsidRDefault="009959C0" w:rsidP="009959C0">
      <w:pPr>
        <w:spacing w:before="120" w:after="120" w:line="360" w:lineRule="exact"/>
        <w:ind w:firstLine="560"/>
        <w:jc w:val="both"/>
        <w:rPr>
          <w:bCs/>
          <w:color w:val="000000" w:themeColor="text1"/>
          <w:sz w:val="26"/>
          <w:szCs w:val="26"/>
          <w:lang w:val="vi-VN"/>
        </w:rPr>
      </w:pPr>
      <w:r w:rsidRPr="00331432">
        <w:rPr>
          <w:bCs/>
          <w:color w:val="000000" w:themeColor="text1"/>
          <w:sz w:val="26"/>
          <w:szCs w:val="26"/>
          <w:lang w:val="vi-VN"/>
        </w:rPr>
        <w:t xml:space="preserve">5. Học viên được miễn đánh giá học phần ngoại ngữ, đủ điều kiện về ngoại ngữ theo </w:t>
      </w:r>
      <w:r w:rsidRPr="00331432">
        <w:rPr>
          <w:color w:val="000000" w:themeColor="text1"/>
          <w:spacing w:val="-2"/>
          <w:sz w:val="26"/>
          <w:szCs w:val="26"/>
          <w:lang w:val="vi-VN"/>
        </w:rPr>
        <w:t xml:space="preserve">Điểm b, Khoản 2, Điều 27 của Quy chế này </w:t>
      </w:r>
      <w:r w:rsidRPr="00331432">
        <w:rPr>
          <w:bCs/>
          <w:color w:val="000000" w:themeColor="text1"/>
          <w:sz w:val="26"/>
          <w:szCs w:val="26"/>
          <w:lang w:val="vi-VN"/>
        </w:rPr>
        <w:t>trong các trường hợp sau:</w:t>
      </w:r>
    </w:p>
    <w:p w14:paraId="18D49167" w14:textId="77777777" w:rsidR="009959C0" w:rsidRPr="00331432" w:rsidRDefault="009959C0" w:rsidP="009959C0">
      <w:pPr>
        <w:spacing w:before="120" w:after="120" w:line="360" w:lineRule="exact"/>
        <w:ind w:firstLine="560"/>
        <w:jc w:val="both"/>
        <w:rPr>
          <w:color w:val="000000" w:themeColor="text1"/>
          <w:sz w:val="26"/>
          <w:szCs w:val="26"/>
          <w:lang w:val="vi-VN"/>
        </w:rPr>
      </w:pPr>
      <w:r w:rsidRPr="00331432">
        <w:rPr>
          <w:bCs/>
          <w:color w:val="000000" w:themeColor="text1"/>
          <w:sz w:val="26"/>
          <w:szCs w:val="26"/>
          <w:lang w:val="vi-VN"/>
        </w:rPr>
        <w:t xml:space="preserve">a) Thuộc </w:t>
      </w:r>
      <w:r w:rsidRPr="00331432">
        <w:rPr>
          <w:color w:val="000000" w:themeColor="text1"/>
          <w:sz w:val="26"/>
          <w:szCs w:val="26"/>
          <w:lang w:val="vi-VN"/>
        </w:rPr>
        <w:t xml:space="preserve">quy định tại các điểm a, b, c Khoản 3, Điều 5 Quy chế này; </w:t>
      </w:r>
    </w:p>
    <w:p w14:paraId="2DDACDA6" w14:textId="77777777" w:rsidR="009959C0" w:rsidRPr="00331432" w:rsidRDefault="009959C0" w:rsidP="009959C0">
      <w:pPr>
        <w:spacing w:before="120" w:after="120" w:line="360" w:lineRule="exact"/>
        <w:ind w:firstLine="560"/>
        <w:jc w:val="both"/>
        <w:rPr>
          <w:bCs/>
          <w:color w:val="000000" w:themeColor="text1"/>
          <w:sz w:val="26"/>
          <w:szCs w:val="26"/>
          <w:lang w:val="vi-VN"/>
        </w:rPr>
      </w:pPr>
      <w:r w:rsidRPr="00331432">
        <w:rPr>
          <w:color w:val="000000" w:themeColor="text1"/>
          <w:sz w:val="26"/>
          <w:szCs w:val="26"/>
          <w:lang w:val="vi-VN"/>
        </w:rPr>
        <w:t>b) Thuộc quy định tại Điểm d, Khoản 3, Điều 5 Quy chế này và chứng chỉ còn trong thời hạn 2 năm tính đến ngày nộp luận văn theo quy định của cơ sở đào tạo</w:t>
      </w:r>
      <w:r w:rsidRPr="00331432">
        <w:rPr>
          <w:bCs/>
          <w:color w:val="000000" w:themeColor="text1"/>
          <w:sz w:val="26"/>
          <w:szCs w:val="26"/>
          <w:lang w:val="vi-VN"/>
        </w:rPr>
        <w:t>;</w:t>
      </w:r>
    </w:p>
    <w:p w14:paraId="3E1019BE" w14:textId="77777777" w:rsidR="009959C0" w:rsidRPr="00331432" w:rsidRDefault="009959C0" w:rsidP="009959C0">
      <w:pPr>
        <w:spacing w:before="120" w:after="120" w:line="360" w:lineRule="exact"/>
        <w:ind w:firstLine="560"/>
        <w:jc w:val="both"/>
        <w:rPr>
          <w:color w:val="000000" w:themeColor="text1"/>
          <w:sz w:val="26"/>
          <w:szCs w:val="26"/>
          <w:lang w:val="vi-VN"/>
        </w:rPr>
      </w:pPr>
      <w:r w:rsidRPr="00331432">
        <w:rPr>
          <w:bCs/>
          <w:color w:val="000000" w:themeColor="text1"/>
          <w:sz w:val="26"/>
          <w:szCs w:val="26"/>
          <w:lang w:val="vi-VN"/>
        </w:rPr>
        <w:t>c) Học c</w:t>
      </w:r>
      <w:r w:rsidRPr="00331432">
        <w:rPr>
          <w:color w:val="000000" w:themeColor="text1"/>
          <w:sz w:val="26"/>
          <w:szCs w:val="26"/>
          <w:lang w:val="vi-VN"/>
        </w:rPr>
        <w:t xml:space="preserve">hương trình đào tạo thạc sĩ giảng dạy bằng ngôn ngữ nước ngoài được cơ quan có thẩm quyền cho phép; trình độ ngoại ngữ khi trúng tuyển tối thiểu đạt từ </w:t>
      </w:r>
      <w:r w:rsidRPr="00331432">
        <w:rPr>
          <w:bCs/>
          <w:color w:val="000000" w:themeColor="text1"/>
          <w:sz w:val="26"/>
          <w:szCs w:val="26"/>
          <w:lang w:val="vi-VN"/>
        </w:rPr>
        <w:t xml:space="preserve">bậc 3/6 trở lên theo </w:t>
      </w:r>
      <w:r w:rsidRPr="00331432">
        <w:rPr>
          <w:color w:val="000000" w:themeColor="text1"/>
          <w:spacing w:val="-2"/>
          <w:sz w:val="26"/>
          <w:szCs w:val="26"/>
          <w:lang w:val="vi-VN"/>
        </w:rPr>
        <w:t>Khung năng lực ngoại ngữ 6 bậc dùng cho Việt Nam hoặc tương đương</w:t>
      </w:r>
      <w:r w:rsidRPr="00331432">
        <w:rPr>
          <w:color w:val="000000" w:themeColor="text1"/>
          <w:sz w:val="26"/>
          <w:szCs w:val="26"/>
          <w:lang w:val="vi-VN"/>
        </w:rPr>
        <w:t xml:space="preserve">; học viên được giảng dạy, viết và bảo vệ luận văn bằng ngôn ngữ nước ngoài. </w:t>
      </w:r>
    </w:p>
    <w:p w14:paraId="2E13FA83" w14:textId="77777777" w:rsidR="00531FCA" w:rsidRPr="00331432" w:rsidRDefault="00531FCA" w:rsidP="00531FCA">
      <w:pPr>
        <w:autoSpaceDE w:val="0"/>
        <w:autoSpaceDN w:val="0"/>
        <w:adjustRightInd w:val="0"/>
        <w:spacing w:before="120" w:after="120" w:line="360" w:lineRule="exact"/>
        <w:ind w:firstLine="560"/>
        <w:jc w:val="both"/>
        <w:rPr>
          <w:b/>
          <w:color w:val="000000" w:themeColor="text1"/>
          <w:spacing w:val="-2"/>
          <w:sz w:val="26"/>
          <w:szCs w:val="26"/>
          <w:lang w:val="vi-VN"/>
        </w:rPr>
      </w:pPr>
      <w:r w:rsidRPr="00331432">
        <w:rPr>
          <w:b/>
          <w:color w:val="000000" w:themeColor="text1"/>
          <w:spacing w:val="-2"/>
          <w:sz w:val="26"/>
          <w:szCs w:val="26"/>
          <w:lang w:val="vi-VN"/>
        </w:rPr>
        <w:t>2. Điều kiện bảo vệ luận văn:</w:t>
      </w:r>
    </w:p>
    <w:p w14:paraId="3BD1E21B" w14:textId="77777777" w:rsidR="00531FCA" w:rsidRPr="00331432" w:rsidRDefault="00531FCA" w:rsidP="00531FCA">
      <w:pPr>
        <w:autoSpaceDE w:val="0"/>
        <w:autoSpaceDN w:val="0"/>
        <w:adjustRightInd w:val="0"/>
        <w:spacing w:before="120" w:line="360" w:lineRule="atLeast"/>
        <w:ind w:firstLine="560"/>
        <w:jc w:val="both"/>
        <w:rPr>
          <w:color w:val="000000" w:themeColor="text1"/>
          <w:spacing w:val="-2"/>
          <w:sz w:val="26"/>
          <w:szCs w:val="26"/>
          <w:lang w:val="vi-VN"/>
        </w:rPr>
      </w:pPr>
      <w:r w:rsidRPr="00331432">
        <w:rPr>
          <w:color w:val="000000" w:themeColor="text1"/>
          <w:sz w:val="26"/>
          <w:szCs w:val="26"/>
          <w:lang w:val="vi-VN"/>
        </w:rPr>
        <w:t xml:space="preserve">b) Đạt trình độ ngoại ngữ do thủ trưởng cơ sở đào tạo quy định theo đề nghị của hội đồng khoa học đào tạo nhưng tối thiểu phải từ </w:t>
      </w:r>
      <w:r w:rsidRPr="00331432">
        <w:rPr>
          <w:bCs/>
          <w:color w:val="000000" w:themeColor="text1"/>
          <w:sz w:val="26"/>
          <w:szCs w:val="26"/>
          <w:lang w:val="vi-VN"/>
        </w:rPr>
        <w:t xml:space="preserve">bậc 3/6 trở lên theo </w:t>
      </w:r>
      <w:r w:rsidRPr="00331432">
        <w:rPr>
          <w:color w:val="000000" w:themeColor="text1"/>
          <w:spacing w:val="-2"/>
          <w:sz w:val="26"/>
          <w:szCs w:val="26"/>
          <w:lang w:val="vi-VN"/>
        </w:rPr>
        <w:t>Khung năng lực ngoại ngữ 6 bậc dùng cho Việt Nam hoặc tương đương (Phụ lục II);</w:t>
      </w:r>
    </w:p>
    <w:p w14:paraId="5E4EC384" w14:textId="77777777" w:rsidR="009959C0" w:rsidRPr="00331432" w:rsidRDefault="009959C0" w:rsidP="00141010">
      <w:pPr>
        <w:adjustRightInd w:val="0"/>
        <w:spacing w:before="120" w:after="120" w:line="360" w:lineRule="exact"/>
        <w:ind w:firstLine="560"/>
        <w:jc w:val="both"/>
        <w:rPr>
          <w:color w:val="000000" w:themeColor="text1"/>
          <w:sz w:val="26"/>
          <w:szCs w:val="26"/>
          <w:lang w:val="vi-VN"/>
        </w:rPr>
      </w:pPr>
    </w:p>
    <w:p w14:paraId="306CA1E6" w14:textId="77777777" w:rsidR="006D1FC6" w:rsidRPr="00331432" w:rsidRDefault="006D1FC6" w:rsidP="006D1FC6">
      <w:pPr>
        <w:pStyle w:val="Heading4"/>
        <w:jc w:val="center"/>
        <w:rPr>
          <w:rFonts w:ascii="Times New Roman" w:hAnsi="Times New Roman"/>
          <w:color w:val="000000" w:themeColor="text1"/>
          <w:sz w:val="26"/>
          <w:szCs w:val="26"/>
          <w:lang w:val="da-DK"/>
        </w:rPr>
      </w:pPr>
      <w:r w:rsidRPr="00331432">
        <w:rPr>
          <w:rFonts w:ascii="Times New Roman" w:hAnsi="Times New Roman"/>
          <w:color w:val="000000" w:themeColor="text1"/>
          <w:sz w:val="26"/>
          <w:szCs w:val="26"/>
          <w:lang w:val="da-DK"/>
        </w:rPr>
        <w:t>P</w:t>
      </w:r>
      <w:r w:rsidRPr="00331432">
        <w:rPr>
          <w:rFonts w:ascii="Times New Roman" w:hAnsi="Times New Roman"/>
          <w:color w:val="000000" w:themeColor="text1"/>
          <w:sz w:val="26"/>
          <w:szCs w:val="26"/>
        </w:rPr>
        <w:t xml:space="preserve">hụ lục </w:t>
      </w:r>
      <w:r w:rsidRPr="00331432">
        <w:rPr>
          <w:rFonts w:ascii="Times New Roman" w:hAnsi="Times New Roman"/>
          <w:color w:val="000000" w:themeColor="text1"/>
          <w:sz w:val="26"/>
          <w:szCs w:val="26"/>
          <w:lang w:val="da-DK"/>
        </w:rPr>
        <w:t>II</w:t>
      </w:r>
    </w:p>
    <w:p w14:paraId="528BC062" w14:textId="77777777" w:rsidR="006D1FC6" w:rsidRPr="00331432" w:rsidRDefault="006D1FC6" w:rsidP="006D1FC6">
      <w:pPr>
        <w:spacing w:before="120"/>
        <w:jc w:val="center"/>
        <w:rPr>
          <w:b/>
          <w:color w:val="000000" w:themeColor="text1"/>
          <w:sz w:val="26"/>
          <w:szCs w:val="26"/>
          <w:lang w:val="da-DK"/>
        </w:rPr>
      </w:pPr>
      <w:r w:rsidRPr="00331432">
        <w:rPr>
          <w:b/>
          <w:color w:val="000000" w:themeColor="text1"/>
          <w:sz w:val="26"/>
          <w:szCs w:val="26"/>
          <w:lang w:val="da-DK"/>
        </w:rPr>
        <w:t xml:space="preserve">BẢNG THAM CHIẾU QUY ĐỔI MỘT SỐ CHỨNG CHỈ NGOẠI NGỮ </w:t>
      </w:r>
    </w:p>
    <w:p w14:paraId="5660428C" w14:textId="77777777" w:rsidR="006D1FC6" w:rsidRPr="00331432" w:rsidRDefault="006D1FC6" w:rsidP="006D1FC6">
      <w:pPr>
        <w:jc w:val="center"/>
        <w:rPr>
          <w:b/>
          <w:color w:val="000000" w:themeColor="text1"/>
          <w:sz w:val="26"/>
          <w:szCs w:val="26"/>
          <w:lang w:val="da-DK"/>
        </w:rPr>
      </w:pPr>
      <w:r w:rsidRPr="00331432">
        <w:rPr>
          <w:b/>
          <w:color w:val="000000" w:themeColor="text1"/>
          <w:sz w:val="26"/>
          <w:szCs w:val="26"/>
          <w:lang w:val="da-DK"/>
        </w:rPr>
        <w:t xml:space="preserve"> TƯƠNG ĐƯƠNG CẤP ĐỘ 3/6 KHUNG NĂNG LỰC NGOẠI NGỮ 6 BẬC DÙNG CHO VIỆT NAM ÁP DỤNG TRONG ĐÀO TẠO TRÌNH ĐỘ THẠC SĨ</w:t>
      </w:r>
    </w:p>
    <w:p w14:paraId="45E5D19F" w14:textId="77777777" w:rsidR="006D1FC6" w:rsidRPr="00331432" w:rsidRDefault="006D1FC6" w:rsidP="006D1FC6">
      <w:pPr>
        <w:jc w:val="center"/>
        <w:rPr>
          <w:color w:val="000000" w:themeColor="text1"/>
          <w:sz w:val="26"/>
          <w:szCs w:val="26"/>
          <w:lang w:val="vi-VN"/>
        </w:rPr>
      </w:pPr>
      <w:r w:rsidRPr="00331432">
        <w:rPr>
          <w:i/>
          <w:color w:val="000000" w:themeColor="text1"/>
          <w:sz w:val="26"/>
          <w:szCs w:val="26"/>
          <w:lang w:val="vi-VN"/>
        </w:rPr>
        <w:t xml:space="preserve">(Kèm theo Thông tư số: </w:t>
      </w:r>
      <w:r w:rsidRPr="00331432">
        <w:rPr>
          <w:i/>
          <w:color w:val="000000" w:themeColor="text1"/>
          <w:sz w:val="26"/>
          <w:szCs w:val="26"/>
          <w:lang w:val="da-DK"/>
        </w:rPr>
        <w:t>15</w:t>
      </w:r>
      <w:r w:rsidRPr="00331432">
        <w:rPr>
          <w:i/>
          <w:color w:val="000000" w:themeColor="text1"/>
          <w:sz w:val="26"/>
          <w:szCs w:val="26"/>
          <w:lang w:val="vi-VN"/>
        </w:rPr>
        <w:t xml:space="preserve"> /2014/TT-BGDĐT ngày  </w:t>
      </w:r>
      <w:r w:rsidRPr="00331432">
        <w:rPr>
          <w:i/>
          <w:color w:val="000000" w:themeColor="text1"/>
          <w:sz w:val="26"/>
          <w:szCs w:val="26"/>
          <w:lang w:val="da-DK"/>
        </w:rPr>
        <w:t>15 tháng 5 năm 2014</w:t>
      </w:r>
      <w:r w:rsidRPr="00331432">
        <w:rPr>
          <w:i/>
          <w:color w:val="000000" w:themeColor="text1"/>
          <w:sz w:val="26"/>
          <w:szCs w:val="26"/>
          <w:lang w:val="vi-VN"/>
        </w:rPr>
        <w:t xml:space="preserve">  của Bộ trưởng Bộ Giáo dục và Đào tạo)</w:t>
      </w:r>
      <w:r w:rsidRPr="00331432">
        <w:rPr>
          <w:color w:val="000000" w:themeColor="text1"/>
          <w:sz w:val="26"/>
          <w:szCs w:val="26"/>
          <w:lang w:val="vi-VN"/>
        </w:rPr>
        <w:t xml:space="preserve">  </w:t>
      </w:r>
    </w:p>
    <w:p w14:paraId="1CA795A8" w14:textId="77777777" w:rsidR="006D1FC6" w:rsidRPr="00331432" w:rsidRDefault="006D1FC6" w:rsidP="006D1FC6">
      <w:pPr>
        <w:tabs>
          <w:tab w:val="left" w:pos="855"/>
        </w:tabs>
        <w:jc w:val="center"/>
        <w:rPr>
          <w:b/>
          <w:color w:val="000000" w:themeColor="text1"/>
          <w:sz w:val="26"/>
          <w:szCs w:val="26"/>
          <w:lang w:val="da-DK"/>
        </w:rPr>
      </w:pPr>
    </w:p>
    <w:p w14:paraId="64252027" w14:textId="77777777" w:rsidR="006D1FC6" w:rsidRPr="00331432" w:rsidRDefault="006D1FC6" w:rsidP="006D1FC6">
      <w:pPr>
        <w:tabs>
          <w:tab w:val="left" w:pos="855"/>
        </w:tabs>
        <w:spacing w:before="120"/>
        <w:rPr>
          <w:b/>
          <w:color w:val="000000" w:themeColor="text1"/>
          <w:sz w:val="26"/>
          <w:szCs w:val="26"/>
          <w:lang w:val="da-DK"/>
        </w:rPr>
      </w:pPr>
    </w:p>
    <w:p w14:paraId="7F4F5500" w14:textId="77777777" w:rsidR="006D1FC6" w:rsidRPr="00331432" w:rsidRDefault="006D1FC6" w:rsidP="006D1FC6">
      <w:pPr>
        <w:tabs>
          <w:tab w:val="left" w:pos="855"/>
        </w:tabs>
        <w:rPr>
          <w:b/>
          <w:color w:val="000000" w:themeColor="text1"/>
          <w:sz w:val="26"/>
          <w:szCs w:val="26"/>
        </w:rPr>
      </w:pPr>
      <w:r w:rsidRPr="00331432">
        <w:rPr>
          <w:b/>
          <w:color w:val="000000" w:themeColor="text1"/>
          <w:sz w:val="26"/>
          <w:szCs w:val="26"/>
        </w:rPr>
        <w:t>Tiếng Anh</w:t>
      </w:r>
    </w:p>
    <w:p w14:paraId="217CE33A" w14:textId="77777777" w:rsidR="006D1FC6" w:rsidRPr="00331432" w:rsidRDefault="006D1FC6" w:rsidP="006D1FC6">
      <w:pPr>
        <w:tabs>
          <w:tab w:val="left" w:pos="855"/>
        </w:tabs>
        <w:rPr>
          <w:b/>
          <w:color w:val="000000" w:themeColor="text1"/>
          <w:sz w:val="26"/>
          <w:szCs w:val="26"/>
        </w:rPr>
      </w:pPr>
    </w:p>
    <w:tbl>
      <w:tblPr>
        <w:tblW w:w="9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99"/>
        <w:gridCol w:w="1557"/>
        <w:gridCol w:w="982"/>
        <w:gridCol w:w="1401"/>
        <w:gridCol w:w="1541"/>
        <w:gridCol w:w="1305"/>
        <w:gridCol w:w="877"/>
      </w:tblGrid>
      <w:tr w:rsidR="00AC0BCA" w:rsidRPr="00331432" w14:paraId="10A57D89" w14:textId="77777777" w:rsidTr="00AD1162">
        <w:tc>
          <w:tcPr>
            <w:tcW w:w="1278" w:type="dxa"/>
            <w:vAlign w:val="center"/>
          </w:tcPr>
          <w:p w14:paraId="4F25F638" w14:textId="77777777" w:rsidR="006D1FC6" w:rsidRPr="00331432" w:rsidRDefault="006D1FC6" w:rsidP="00AD1162">
            <w:pPr>
              <w:jc w:val="center"/>
              <w:rPr>
                <w:rFonts w:eastAsia="MS Mincho"/>
                <w:color w:val="000000" w:themeColor="text1"/>
                <w:sz w:val="26"/>
                <w:szCs w:val="26"/>
              </w:rPr>
            </w:pPr>
            <w:r w:rsidRPr="00331432">
              <w:rPr>
                <w:rFonts w:eastAsia="MS Mincho"/>
                <w:color w:val="000000" w:themeColor="text1"/>
                <w:sz w:val="26"/>
                <w:szCs w:val="26"/>
              </w:rPr>
              <w:t xml:space="preserve">Khung năng lực </w:t>
            </w:r>
          </w:p>
          <w:p w14:paraId="7E63AD7D" w14:textId="77777777" w:rsidR="006D1FC6" w:rsidRPr="00331432" w:rsidRDefault="006D1FC6" w:rsidP="00AD1162">
            <w:pPr>
              <w:jc w:val="center"/>
              <w:rPr>
                <w:rFonts w:eastAsia="MS Mincho"/>
                <w:color w:val="000000" w:themeColor="text1"/>
                <w:sz w:val="26"/>
                <w:szCs w:val="26"/>
              </w:rPr>
            </w:pPr>
            <w:r w:rsidRPr="00331432">
              <w:rPr>
                <w:rFonts w:eastAsia="MS Mincho"/>
                <w:color w:val="000000" w:themeColor="text1"/>
                <w:sz w:val="26"/>
                <w:szCs w:val="26"/>
              </w:rPr>
              <w:t xml:space="preserve">ngoại ngữ </w:t>
            </w:r>
          </w:p>
          <w:p w14:paraId="51038ADF" w14:textId="77777777" w:rsidR="006D1FC6" w:rsidRPr="00331432" w:rsidRDefault="006D1FC6" w:rsidP="00AD1162">
            <w:pPr>
              <w:jc w:val="center"/>
              <w:rPr>
                <w:rFonts w:eastAsia="MS Mincho"/>
                <w:b/>
                <w:color w:val="000000" w:themeColor="text1"/>
                <w:sz w:val="26"/>
                <w:szCs w:val="26"/>
              </w:rPr>
            </w:pPr>
            <w:r w:rsidRPr="00331432">
              <w:rPr>
                <w:rFonts w:eastAsia="MS Mincho"/>
                <w:color w:val="000000" w:themeColor="text1"/>
                <w:sz w:val="26"/>
                <w:szCs w:val="26"/>
              </w:rPr>
              <w:t xml:space="preserve">VN  </w:t>
            </w:r>
          </w:p>
        </w:tc>
        <w:tc>
          <w:tcPr>
            <w:tcW w:w="999" w:type="dxa"/>
            <w:vAlign w:val="center"/>
          </w:tcPr>
          <w:p w14:paraId="0FF36D99"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IELTS</w:t>
            </w:r>
          </w:p>
        </w:tc>
        <w:tc>
          <w:tcPr>
            <w:tcW w:w="1557" w:type="dxa"/>
            <w:vAlign w:val="center"/>
          </w:tcPr>
          <w:p w14:paraId="08C03F3B"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TOEFL</w:t>
            </w:r>
          </w:p>
        </w:tc>
        <w:tc>
          <w:tcPr>
            <w:tcW w:w="982" w:type="dxa"/>
            <w:vAlign w:val="center"/>
          </w:tcPr>
          <w:p w14:paraId="52467A32"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TOEIC</w:t>
            </w:r>
          </w:p>
        </w:tc>
        <w:tc>
          <w:tcPr>
            <w:tcW w:w="1401" w:type="dxa"/>
            <w:vAlign w:val="center"/>
          </w:tcPr>
          <w:p w14:paraId="74CAC01B"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Cambridge Exam</w:t>
            </w:r>
          </w:p>
        </w:tc>
        <w:tc>
          <w:tcPr>
            <w:tcW w:w="1541" w:type="dxa"/>
            <w:vAlign w:val="center"/>
          </w:tcPr>
          <w:p w14:paraId="2138B3E3"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BEC</w:t>
            </w:r>
          </w:p>
        </w:tc>
        <w:tc>
          <w:tcPr>
            <w:tcW w:w="1305" w:type="dxa"/>
            <w:vAlign w:val="center"/>
          </w:tcPr>
          <w:p w14:paraId="1759CA7B"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BULATS</w:t>
            </w:r>
          </w:p>
        </w:tc>
        <w:tc>
          <w:tcPr>
            <w:tcW w:w="877" w:type="dxa"/>
          </w:tcPr>
          <w:p w14:paraId="6AB9A14E" w14:textId="77777777" w:rsidR="006D1FC6" w:rsidRPr="00331432" w:rsidRDefault="006D1FC6" w:rsidP="00AD1162">
            <w:pPr>
              <w:spacing w:before="120" w:after="120"/>
              <w:jc w:val="center"/>
              <w:rPr>
                <w:rFonts w:eastAsia="MS Mincho"/>
                <w:color w:val="000000" w:themeColor="text1"/>
                <w:sz w:val="26"/>
                <w:szCs w:val="26"/>
              </w:rPr>
            </w:pPr>
          </w:p>
          <w:p w14:paraId="6E6E1842"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CEFR</w:t>
            </w:r>
          </w:p>
        </w:tc>
      </w:tr>
      <w:tr w:rsidR="00AC0BCA" w:rsidRPr="00331432" w14:paraId="34A47740" w14:textId="77777777" w:rsidTr="00AD1162">
        <w:tc>
          <w:tcPr>
            <w:tcW w:w="1278" w:type="dxa"/>
            <w:vAlign w:val="center"/>
          </w:tcPr>
          <w:p w14:paraId="37CDB76E" w14:textId="77777777" w:rsidR="006D1FC6" w:rsidRPr="00331432" w:rsidRDefault="006D1FC6" w:rsidP="00AD1162">
            <w:pPr>
              <w:jc w:val="center"/>
              <w:rPr>
                <w:rFonts w:eastAsia="MS Mincho"/>
                <w:color w:val="000000" w:themeColor="text1"/>
                <w:sz w:val="26"/>
                <w:szCs w:val="26"/>
              </w:rPr>
            </w:pPr>
            <w:r w:rsidRPr="00331432">
              <w:rPr>
                <w:rFonts w:eastAsia="MS Mincho"/>
                <w:color w:val="000000" w:themeColor="text1"/>
                <w:sz w:val="26"/>
                <w:szCs w:val="26"/>
              </w:rPr>
              <w:t xml:space="preserve"> Cấp độ  3 </w:t>
            </w:r>
          </w:p>
        </w:tc>
        <w:tc>
          <w:tcPr>
            <w:tcW w:w="999" w:type="dxa"/>
            <w:vAlign w:val="center"/>
          </w:tcPr>
          <w:p w14:paraId="6A02B573"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4.5</w:t>
            </w:r>
          </w:p>
        </w:tc>
        <w:tc>
          <w:tcPr>
            <w:tcW w:w="1557" w:type="dxa"/>
            <w:vAlign w:val="center"/>
          </w:tcPr>
          <w:p w14:paraId="04F7E95A" w14:textId="77777777" w:rsidR="006D1FC6" w:rsidRPr="00331432" w:rsidRDefault="006D1FC6" w:rsidP="00AD1162">
            <w:pPr>
              <w:rPr>
                <w:rFonts w:eastAsia="MS Mincho"/>
                <w:color w:val="000000" w:themeColor="text1"/>
                <w:sz w:val="26"/>
                <w:szCs w:val="26"/>
              </w:rPr>
            </w:pPr>
            <w:r w:rsidRPr="00331432">
              <w:rPr>
                <w:rFonts w:eastAsia="MS Mincho"/>
                <w:color w:val="000000" w:themeColor="text1"/>
                <w:sz w:val="26"/>
                <w:szCs w:val="26"/>
              </w:rPr>
              <w:t>450   ITP</w:t>
            </w:r>
          </w:p>
          <w:p w14:paraId="35BFDCBD" w14:textId="77777777" w:rsidR="006D1FC6" w:rsidRPr="00331432" w:rsidRDefault="006D1FC6" w:rsidP="00AD1162">
            <w:pPr>
              <w:rPr>
                <w:rFonts w:eastAsia="MS Mincho"/>
                <w:color w:val="000000" w:themeColor="text1"/>
                <w:sz w:val="26"/>
                <w:szCs w:val="26"/>
              </w:rPr>
            </w:pPr>
            <w:r w:rsidRPr="00331432">
              <w:rPr>
                <w:rFonts w:eastAsia="MS Mincho"/>
                <w:color w:val="000000" w:themeColor="text1"/>
                <w:sz w:val="26"/>
                <w:szCs w:val="26"/>
              </w:rPr>
              <w:t>133   CBT      45 iBT</w:t>
            </w:r>
          </w:p>
        </w:tc>
        <w:tc>
          <w:tcPr>
            <w:tcW w:w="982" w:type="dxa"/>
            <w:vAlign w:val="center"/>
          </w:tcPr>
          <w:p w14:paraId="1C841D99" w14:textId="77777777" w:rsidR="006D1FC6" w:rsidRPr="00331432" w:rsidRDefault="006D1FC6" w:rsidP="00AD1162">
            <w:pPr>
              <w:spacing w:before="120" w:after="120"/>
              <w:jc w:val="center"/>
              <w:rPr>
                <w:rFonts w:eastAsia="MS Mincho"/>
                <w:color w:val="000000" w:themeColor="text1"/>
                <w:sz w:val="26"/>
                <w:szCs w:val="26"/>
              </w:rPr>
            </w:pPr>
            <w:r w:rsidRPr="00331432">
              <w:rPr>
                <w:rFonts w:eastAsia="MS Mincho"/>
                <w:color w:val="000000" w:themeColor="text1"/>
                <w:sz w:val="26"/>
                <w:szCs w:val="26"/>
              </w:rPr>
              <w:t>450</w:t>
            </w:r>
          </w:p>
        </w:tc>
        <w:tc>
          <w:tcPr>
            <w:tcW w:w="1401" w:type="dxa"/>
            <w:vAlign w:val="center"/>
          </w:tcPr>
          <w:p w14:paraId="13702F61" w14:textId="77777777" w:rsidR="006D1FC6" w:rsidRPr="00331432" w:rsidRDefault="006D1FC6" w:rsidP="00AD1162">
            <w:pPr>
              <w:rPr>
                <w:rFonts w:eastAsia="MS Mincho"/>
                <w:color w:val="000000" w:themeColor="text1"/>
                <w:sz w:val="26"/>
                <w:szCs w:val="26"/>
              </w:rPr>
            </w:pPr>
            <w:r w:rsidRPr="00331432">
              <w:rPr>
                <w:rFonts w:eastAsia="MS Mincho"/>
                <w:color w:val="000000" w:themeColor="text1"/>
                <w:sz w:val="26"/>
                <w:szCs w:val="26"/>
              </w:rPr>
              <w:t xml:space="preserve">     PET</w:t>
            </w:r>
          </w:p>
        </w:tc>
        <w:tc>
          <w:tcPr>
            <w:tcW w:w="1541" w:type="dxa"/>
            <w:vAlign w:val="center"/>
          </w:tcPr>
          <w:p w14:paraId="51D669F0" w14:textId="77777777" w:rsidR="006D1FC6" w:rsidRPr="00331432" w:rsidRDefault="006D1FC6" w:rsidP="00AD1162">
            <w:pPr>
              <w:jc w:val="center"/>
              <w:rPr>
                <w:rFonts w:eastAsia="MS Mincho"/>
                <w:color w:val="000000" w:themeColor="text1"/>
                <w:sz w:val="26"/>
                <w:szCs w:val="26"/>
              </w:rPr>
            </w:pPr>
            <w:r w:rsidRPr="00331432">
              <w:rPr>
                <w:rFonts w:eastAsia="MS Mincho"/>
                <w:color w:val="000000" w:themeColor="text1"/>
                <w:sz w:val="26"/>
                <w:szCs w:val="26"/>
              </w:rPr>
              <w:t>Preliminary</w:t>
            </w:r>
          </w:p>
        </w:tc>
        <w:tc>
          <w:tcPr>
            <w:tcW w:w="1305" w:type="dxa"/>
            <w:vAlign w:val="center"/>
          </w:tcPr>
          <w:p w14:paraId="29AB03E4" w14:textId="77777777" w:rsidR="006D1FC6" w:rsidRPr="00331432" w:rsidRDefault="006D1FC6" w:rsidP="00AD1162">
            <w:pPr>
              <w:jc w:val="center"/>
              <w:rPr>
                <w:rFonts w:eastAsia="MS Mincho"/>
                <w:color w:val="000000" w:themeColor="text1"/>
                <w:sz w:val="26"/>
                <w:szCs w:val="26"/>
              </w:rPr>
            </w:pPr>
            <w:r w:rsidRPr="00331432">
              <w:rPr>
                <w:rFonts w:eastAsia="MS Mincho"/>
                <w:color w:val="000000" w:themeColor="text1"/>
                <w:sz w:val="26"/>
                <w:szCs w:val="26"/>
              </w:rPr>
              <w:t>40</w:t>
            </w:r>
          </w:p>
        </w:tc>
        <w:tc>
          <w:tcPr>
            <w:tcW w:w="877" w:type="dxa"/>
          </w:tcPr>
          <w:p w14:paraId="20C1044B" w14:textId="77777777" w:rsidR="006D1FC6" w:rsidRPr="00331432" w:rsidRDefault="006D1FC6" w:rsidP="00AD1162">
            <w:pPr>
              <w:jc w:val="center"/>
              <w:rPr>
                <w:rFonts w:eastAsia="MS Mincho"/>
                <w:color w:val="000000" w:themeColor="text1"/>
                <w:sz w:val="26"/>
                <w:szCs w:val="26"/>
              </w:rPr>
            </w:pPr>
          </w:p>
          <w:p w14:paraId="27CE6925" w14:textId="77777777" w:rsidR="006D1FC6" w:rsidRPr="00331432" w:rsidRDefault="006D1FC6" w:rsidP="00AD1162">
            <w:pPr>
              <w:jc w:val="center"/>
              <w:rPr>
                <w:rFonts w:eastAsia="MS Mincho"/>
                <w:color w:val="000000" w:themeColor="text1"/>
                <w:sz w:val="26"/>
                <w:szCs w:val="26"/>
              </w:rPr>
            </w:pPr>
            <w:r w:rsidRPr="00331432">
              <w:rPr>
                <w:rFonts w:eastAsia="MS Mincho"/>
                <w:color w:val="000000" w:themeColor="text1"/>
                <w:sz w:val="26"/>
                <w:szCs w:val="26"/>
              </w:rPr>
              <w:t>B1</w:t>
            </w:r>
          </w:p>
        </w:tc>
      </w:tr>
    </w:tbl>
    <w:p w14:paraId="247F9EAE" w14:textId="77777777" w:rsidR="006D1FC6" w:rsidRPr="00331432" w:rsidRDefault="006D1FC6" w:rsidP="006D1FC6">
      <w:pPr>
        <w:spacing w:before="120"/>
        <w:jc w:val="center"/>
        <w:rPr>
          <w:color w:val="000000" w:themeColor="text1"/>
          <w:sz w:val="26"/>
          <w:szCs w:val="26"/>
        </w:rPr>
      </w:pPr>
      <w:r w:rsidRPr="00331432">
        <w:rPr>
          <w:color w:val="000000" w:themeColor="text1"/>
          <w:sz w:val="26"/>
          <w:szCs w:val="26"/>
        </w:rPr>
        <w:t>(Các điểm số nêu trên là điểm tối thiểu cần đạt được)</w:t>
      </w:r>
    </w:p>
    <w:p w14:paraId="4A5A5A42" w14:textId="77777777" w:rsidR="00141010" w:rsidRPr="00331432" w:rsidRDefault="00141010">
      <w:pPr>
        <w:rPr>
          <w:color w:val="000000" w:themeColor="text1"/>
          <w:sz w:val="26"/>
          <w:szCs w:val="26"/>
          <w:lang w:val="vi-VN"/>
        </w:rPr>
      </w:pPr>
    </w:p>
    <w:p w14:paraId="19964DB8" w14:textId="77777777" w:rsidR="005A3634" w:rsidRPr="00331432" w:rsidRDefault="005A3634">
      <w:pPr>
        <w:rPr>
          <w:color w:val="000000" w:themeColor="text1"/>
          <w:sz w:val="26"/>
          <w:szCs w:val="26"/>
          <w:lang w:val="vi-VN"/>
        </w:rPr>
      </w:pPr>
    </w:p>
    <w:p w14:paraId="74F67A35" w14:textId="77777777" w:rsidR="00331432" w:rsidRDefault="00331432">
      <w:pPr>
        <w:rPr>
          <w:color w:val="000000" w:themeColor="text1"/>
          <w:sz w:val="26"/>
          <w:szCs w:val="26"/>
          <w:lang w:val="vi-VN"/>
        </w:rPr>
      </w:pPr>
    </w:p>
    <w:p w14:paraId="363047B6" w14:textId="43F638D5" w:rsidR="005A3634" w:rsidRPr="00331432" w:rsidRDefault="008F70D2">
      <w:pPr>
        <w:rPr>
          <w:color w:val="000000" w:themeColor="text1"/>
          <w:sz w:val="26"/>
          <w:szCs w:val="26"/>
          <w:lang w:val="vi-VN"/>
        </w:rPr>
      </w:pPr>
      <w:r w:rsidRPr="00331432">
        <w:rPr>
          <w:color w:val="000000" w:themeColor="text1"/>
          <w:sz w:val="26"/>
          <w:szCs w:val="26"/>
          <w:lang w:val="vi-VN"/>
        </w:rPr>
        <w:lastRenderedPageBreak/>
        <w:t>01082017</w:t>
      </w:r>
    </w:p>
    <w:p w14:paraId="3344E142" w14:textId="77777777" w:rsidR="008F70D2" w:rsidRPr="008F70D2" w:rsidRDefault="008F70D2" w:rsidP="008F70D2">
      <w:pPr>
        <w:rPr>
          <w:color w:val="000000" w:themeColor="text1"/>
          <w:sz w:val="26"/>
          <w:szCs w:val="26"/>
          <w:lang w:val="en-US"/>
        </w:rPr>
      </w:pPr>
      <w:r w:rsidRPr="008F70D2">
        <w:rPr>
          <w:color w:val="000000" w:themeColor="text1"/>
          <w:sz w:val="26"/>
          <w:szCs w:val="26"/>
          <w:shd w:val="clear" w:color="auto" w:fill="FFFFFF"/>
          <w:lang w:val="en-US"/>
        </w:rPr>
        <w:t>Kính gửi: Các anh chị học viên</w:t>
      </w:r>
    </w:p>
    <w:p w14:paraId="74826A55"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Hiện nay, có nhiều anh chị thắc mắc về vấn đề Chuẩn đầu ra ngoại ngữ trong chương trình đào tạo thạc sĩ tại ĐHQGHN, xin được giải đáp như sau:</w:t>
      </w:r>
    </w:p>
    <w:p w14:paraId="4A36290D" w14:textId="77777777" w:rsidR="008F70D2" w:rsidRPr="008F70D2" w:rsidRDefault="008F70D2" w:rsidP="008F70D2">
      <w:pPr>
        <w:rPr>
          <w:color w:val="000000" w:themeColor="text1"/>
          <w:sz w:val="26"/>
          <w:szCs w:val="26"/>
          <w:lang w:val="en-US"/>
        </w:rPr>
      </w:pPr>
      <w:r w:rsidRPr="008F70D2">
        <w:rPr>
          <w:b/>
          <w:bCs/>
          <w:color w:val="000000" w:themeColor="text1"/>
          <w:sz w:val="26"/>
          <w:szCs w:val="26"/>
          <w:lang w:val="en-US"/>
        </w:rPr>
        <w:t>1. Quy định</w:t>
      </w:r>
    </w:p>
    <w:p w14:paraId="1AD1C066"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 Tất cả các học viên đều phải có minh chứng chuẩn đầu ra ngoại ngữ kèm hồ sơ xin bảo vệ luận văn mới được ra quyết định bảo vệ luận văn.</w:t>
      </w:r>
    </w:p>
    <w:p w14:paraId="7BCED960"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 Do đặc thù ngành học, ngoại ngữ chuẩn đầu ra các chương trình đào tạo thạc sĩ Biến đổi khí hậu và Khoa học bền vững tại Khoa Các khoa học liên ngành là</w:t>
      </w:r>
      <w:r w:rsidRPr="00331432">
        <w:rPr>
          <w:color w:val="000000" w:themeColor="text1"/>
          <w:sz w:val="26"/>
          <w:szCs w:val="26"/>
          <w:lang w:val="en-US"/>
        </w:rPr>
        <w:t> </w:t>
      </w:r>
      <w:r w:rsidRPr="008F70D2">
        <w:rPr>
          <w:b/>
          <w:bCs/>
          <w:i/>
          <w:iCs/>
          <w:color w:val="000000" w:themeColor="text1"/>
          <w:sz w:val="26"/>
          <w:szCs w:val="26"/>
          <w:lang w:val="en-US"/>
        </w:rPr>
        <w:t>Tiếng Anh</w:t>
      </w:r>
      <w:r w:rsidRPr="00331432">
        <w:rPr>
          <w:b/>
          <w:bCs/>
          <w:i/>
          <w:iCs/>
          <w:color w:val="000000" w:themeColor="text1"/>
          <w:sz w:val="26"/>
          <w:szCs w:val="26"/>
          <w:lang w:val="en-US"/>
        </w:rPr>
        <w:t> </w:t>
      </w:r>
      <w:r w:rsidRPr="008F70D2">
        <w:rPr>
          <w:color w:val="000000" w:themeColor="text1"/>
          <w:sz w:val="26"/>
          <w:szCs w:val="26"/>
          <w:lang w:val="en-US"/>
        </w:rPr>
        <w:t>(các ngoại ngữ khác không được).</w:t>
      </w:r>
    </w:p>
    <w:p w14:paraId="49762D4A"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 Các minh chứng Tiếng Anh này cũng có thể được sử dụng vào các mục đích khác như hồ sơ công tác, hồ sơ thăng tiến, thi chuyên viên chính, chuyên viên cao cấp, giao tiếp, phiên dịch và dịch thuật bằng ngôn ngữ Tiếng Anh... tuỳ theo yêu cầu nơi bạn làm việc.</w:t>
      </w:r>
    </w:p>
    <w:p w14:paraId="55B43BA2" w14:textId="77777777" w:rsidR="008F70D2" w:rsidRPr="008F70D2" w:rsidRDefault="008F70D2" w:rsidP="008F70D2">
      <w:pPr>
        <w:rPr>
          <w:color w:val="000000" w:themeColor="text1"/>
          <w:sz w:val="26"/>
          <w:szCs w:val="26"/>
          <w:lang w:val="en-US"/>
        </w:rPr>
      </w:pPr>
      <w:r w:rsidRPr="008F70D2">
        <w:rPr>
          <w:b/>
          <w:bCs/>
          <w:color w:val="000000" w:themeColor="text1"/>
          <w:sz w:val="26"/>
          <w:szCs w:val="26"/>
          <w:lang w:val="en-US"/>
        </w:rPr>
        <w:t>2. Hướng dẫn</w:t>
      </w:r>
    </w:p>
    <w:p w14:paraId="7E60A830"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Mời các bạn xem Hướng dẫn mới nhất của ĐHQGHN trong công văn số 297/HD-ĐHQGHN, ngày 03/02/2017 về việc "Tổ chức đào tạo các học phần ngoại ngữ thuộc khối kiến thức chung trong chương trình đào tạo đại học, thạc sĩ tại ĐHQGHN" được gửi trong file đính kèm để biết thêm chi tiết, khi đọc, chú ý một số vấn đề sau:</w:t>
      </w:r>
    </w:p>
    <w:p w14:paraId="5D2140AE"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 Chú ý các phần quy định cho bậc thạc sĩ (học viên), bỏ qua các phần quy định cho bậc đại học (sinh viên).</w:t>
      </w:r>
    </w:p>
    <w:p w14:paraId="5FBB4E2B"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w:t>
      </w:r>
      <w:r w:rsidRPr="00331432">
        <w:rPr>
          <w:b/>
          <w:bCs/>
          <w:i/>
          <w:iCs/>
          <w:color w:val="000000" w:themeColor="text1"/>
          <w:sz w:val="26"/>
          <w:szCs w:val="26"/>
          <w:lang w:val="en-US"/>
        </w:rPr>
        <w:t> </w:t>
      </w:r>
      <w:r w:rsidRPr="008F70D2">
        <w:rPr>
          <w:b/>
          <w:bCs/>
          <w:i/>
          <w:iCs/>
          <w:color w:val="000000" w:themeColor="text1"/>
          <w:sz w:val="26"/>
          <w:szCs w:val="26"/>
          <w:lang w:val="en-US"/>
        </w:rPr>
        <w:t>Mục 2.2.2.</w:t>
      </w:r>
      <w:r w:rsidRPr="00331432">
        <w:rPr>
          <w:color w:val="000000" w:themeColor="text1"/>
          <w:sz w:val="26"/>
          <w:szCs w:val="26"/>
          <w:lang w:val="en-US"/>
        </w:rPr>
        <w:t> </w:t>
      </w:r>
      <w:r w:rsidRPr="008F70D2">
        <w:rPr>
          <w:color w:val="000000" w:themeColor="text1"/>
          <w:sz w:val="26"/>
          <w:szCs w:val="26"/>
          <w:lang w:val="en-US"/>
        </w:rPr>
        <w:t>Nếu lớp nào có nhu cầu học học phần "Tiếng Anh cơ bản" và đăng kí đủ 30 người theo quy định trong hướng dẫn, Khoa sẽ phối hợp với Trường Đại học Ngoại ngữ, ĐHQGHN để tổ chức giảng dạy. Ưu điểm của phần này là được học kiến thức thực sự, khi thi kết thúc học phần nếu đạt có thể kết hợp với làm chứng chỉ B1 đáp ứng chuẩn đầu ra luôn, được miễn kinh phí thi. Tuy nhiên, thời gian học tập tương đối dài, phát sinh thêm nhiều chi phí học tập khác.</w:t>
      </w:r>
    </w:p>
    <w:p w14:paraId="2FB2A43C"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w:t>
      </w:r>
      <w:r w:rsidRPr="00331432">
        <w:rPr>
          <w:color w:val="000000" w:themeColor="text1"/>
          <w:sz w:val="26"/>
          <w:szCs w:val="26"/>
          <w:lang w:val="en-US"/>
        </w:rPr>
        <w:t> </w:t>
      </w:r>
      <w:r w:rsidRPr="008F70D2">
        <w:rPr>
          <w:b/>
          <w:bCs/>
          <w:i/>
          <w:iCs/>
          <w:color w:val="000000" w:themeColor="text1"/>
          <w:sz w:val="26"/>
          <w:szCs w:val="26"/>
          <w:lang w:val="en-US"/>
        </w:rPr>
        <w:t>Mục 3.2.</w:t>
      </w:r>
      <w:r w:rsidRPr="00331432">
        <w:rPr>
          <w:color w:val="000000" w:themeColor="text1"/>
          <w:sz w:val="26"/>
          <w:szCs w:val="26"/>
          <w:lang w:val="en-US"/>
        </w:rPr>
        <w:t> </w:t>
      </w:r>
      <w:r w:rsidRPr="008F70D2">
        <w:rPr>
          <w:color w:val="000000" w:themeColor="text1"/>
          <w:sz w:val="26"/>
          <w:szCs w:val="26"/>
          <w:lang w:val="en-US"/>
        </w:rPr>
        <w:t>Có 5 loại minh chứng miễn học ngoại ngữ (ở đây là Tiếng Anh), các bạn chỉ cần 1 trong 5 loại này là đủ. Những minh chứng miễn học Tiếng Anh này đồng thời cũng là minh chứng miễn đầu vào kèm theo hồ sơ dự thi, minh chứng chuẩn đầu ra kèm theo hồ sơ xin bảo vệ luận văn.</w:t>
      </w:r>
    </w:p>
    <w:p w14:paraId="735358C0"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w:t>
      </w:r>
      <w:r w:rsidRPr="00331432">
        <w:rPr>
          <w:color w:val="000000" w:themeColor="text1"/>
          <w:sz w:val="26"/>
          <w:szCs w:val="26"/>
          <w:lang w:val="en-US"/>
        </w:rPr>
        <w:t> </w:t>
      </w:r>
      <w:r w:rsidRPr="008F70D2">
        <w:rPr>
          <w:b/>
          <w:bCs/>
          <w:color w:val="000000" w:themeColor="text1"/>
          <w:sz w:val="26"/>
          <w:szCs w:val="26"/>
          <w:lang w:val="en-US"/>
        </w:rPr>
        <w:t>Mục 4.</w:t>
      </w:r>
      <w:r w:rsidRPr="00331432">
        <w:rPr>
          <w:color w:val="000000" w:themeColor="text1"/>
          <w:sz w:val="26"/>
          <w:szCs w:val="26"/>
          <w:lang w:val="en-US"/>
        </w:rPr>
        <w:t> </w:t>
      </w:r>
      <w:r w:rsidRPr="008F70D2">
        <w:rPr>
          <w:color w:val="000000" w:themeColor="text1"/>
          <w:sz w:val="26"/>
          <w:szCs w:val="26"/>
          <w:lang w:val="en-US"/>
        </w:rPr>
        <w:t>Khi có minh chứng như ở Mục 3.2 ở trên, các bạn chỉ cần nộp cho Khoa trước khi chứng chỉ hết hạn, trong trường hợp này, đến thời điểm nộp luận văn mà minh chứng chuẩn đầu ra nộp trước đó hết hạn vẫn được chấp nhận.</w:t>
      </w:r>
    </w:p>
    <w:p w14:paraId="5F80BE7A" w14:textId="77777777" w:rsidR="008F70D2" w:rsidRPr="008F70D2" w:rsidRDefault="008F70D2" w:rsidP="008F70D2">
      <w:pPr>
        <w:rPr>
          <w:color w:val="000000" w:themeColor="text1"/>
          <w:sz w:val="26"/>
          <w:szCs w:val="26"/>
          <w:lang w:val="en-US"/>
        </w:rPr>
      </w:pPr>
      <w:r w:rsidRPr="008F70D2">
        <w:rPr>
          <w:b/>
          <w:bCs/>
          <w:color w:val="000000" w:themeColor="text1"/>
          <w:sz w:val="26"/>
          <w:szCs w:val="26"/>
          <w:lang w:val="en-US"/>
        </w:rPr>
        <w:t>3. Thi các loại chứng chỉ chuẩn đầu ra</w:t>
      </w:r>
    </w:p>
    <w:p w14:paraId="69182A8E"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 Các loại chứng chỉ minh chứng chuẩn đầu ra và cơ sở cấp chứng chỉ đó được chấp nhận xin xem trong phần Phụ lục của</w:t>
      </w:r>
      <w:r w:rsidRPr="00331432">
        <w:rPr>
          <w:color w:val="000000" w:themeColor="text1"/>
          <w:sz w:val="26"/>
          <w:szCs w:val="26"/>
          <w:lang w:val="en-US"/>
        </w:rPr>
        <w:t> </w:t>
      </w:r>
      <w:r w:rsidRPr="008F70D2">
        <w:rPr>
          <w:b/>
          <w:bCs/>
          <w:color w:val="000000" w:themeColor="text1"/>
          <w:sz w:val="26"/>
          <w:szCs w:val="26"/>
          <w:lang w:val="en-US"/>
        </w:rPr>
        <w:t>"Thông báo tuyển sinh đợt 2 năm 2017"</w:t>
      </w:r>
      <w:r w:rsidRPr="00331432">
        <w:rPr>
          <w:color w:val="000000" w:themeColor="text1"/>
          <w:sz w:val="26"/>
          <w:szCs w:val="26"/>
          <w:lang w:val="en-US"/>
        </w:rPr>
        <w:t> </w:t>
      </w:r>
      <w:r w:rsidRPr="008F70D2">
        <w:rPr>
          <w:color w:val="000000" w:themeColor="text1"/>
          <w:sz w:val="26"/>
          <w:szCs w:val="26"/>
          <w:lang w:val="en-US"/>
        </w:rPr>
        <w:t>trong file đính kèm.</w:t>
      </w:r>
    </w:p>
    <w:p w14:paraId="5F257A6D"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 Lịch thi chứng chỉ B1 năm 2017 tại 05 cơ sở cấp chứng chỉ được Đại học Quốc gia Hà Nội công nhận chuẩn đầu ra xem trong file đính kèm.</w:t>
      </w:r>
    </w:p>
    <w:p w14:paraId="3BD69691" w14:textId="77777777" w:rsidR="008F70D2" w:rsidRPr="008F70D2" w:rsidRDefault="008F70D2" w:rsidP="008F70D2">
      <w:pPr>
        <w:rPr>
          <w:color w:val="000000" w:themeColor="text1"/>
          <w:sz w:val="26"/>
          <w:szCs w:val="26"/>
          <w:lang w:val="en-US"/>
        </w:rPr>
      </w:pPr>
      <w:r w:rsidRPr="008F70D2">
        <w:rPr>
          <w:color w:val="000000" w:themeColor="text1"/>
          <w:sz w:val="26"/>
          <w:szCs w:val="26"/>
          <w:lang w:val="en-US"/>
        </w:rPr>
        <w:t>- Nếu có nhu cầu đăng kí thi gián tiếp để đạt kết quả như mong muốn, vui lòng gọi số điện thoại bên dưới.</w:t>
      </w:r>
    </w:p>
    <w:p w14:paraId="6D467B54" w14:textId="08A5DD06" w:rsidR="008F70D2" w:rsidRPr="00331432" w:rsidRDefault="008F70D2">
      <w:pPr>
        <w:rPr>
          <w:color w:val="000000" w:themeColor="text1"/>
          <w:sz w:val="26"/>
          <w:szCs w:val="26"/>
          <w:lang w:val="vi-VN"/>
        </w:rPr>
      </w:pPr>
    </w:p>
    <w:p w14:paraId="6AF082FA" w14:textId="50450D82" w:rsidR="008F70D2" w:rsidRPr="00331432" w:rsidRDefault="008F70D2">
      <w:pPr>
        <w:rPr>
          <w:color w:val="000000" w:themeColor="text1"/>
          <w:sz w:val="26"/>
          <w:szCs w:val="26"/>
          <w:lang w:val="vi-VN"/>
        </w:rPr>
      </w:pPr>
      <w:r w:rsidRPr="00331432">
        <w:rPr>
          <w:color w:val="000000" w:themeColor="text1"/>
          <w:sz w:val="26"/>
          <w:szCs w:val="26"/>
          <w:lang w:val="vi-VN"/>
        </w:rPr>
        <w:t>Theo HD 297 của ĐHQG về đào tạo ngoại ngữ</w:t>
      </w:r>
    </w:p>
    <w:sectPr w:rsidR="008F70D2" w:rsidRPr="00331432" w:rsidSect="00AE28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nTimeH">
    <w:altName w:val="Helvetica"/>
    <w:panose1 w:val="020B7200000000000000"/>
    <w:charset w:val="00"/>
    <w:family w:val="swiss"/>
    <w:pitch w:val="variable"/>
    <w:sig w:usb0="E00002FF" w:usb1="5000785B"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CC"/>
    <w:rsid w:val="001312D4"/>
    <w:rsid w:val="00141010"/>
    <w:rsid w:val="00331432"/>
    <w:rsid w:val="00531FCA"/>
    <w:rsid w:val="005A3634"/>
    <w:rsid w:val="006D1FC6"/>
    <w:rsid w:val="00785A92"/>
    <w:rsid w:val="008F70D2"/>
    <w:rsid w:val="009959C0"/>
    <w:rsid w:val="00AC0BCA"/>
    <w:rsid w:val="00AE2817"/>
    <w:rsid w:val="00B50D7D"/>
    <w:rsid w:val="00B55EB5"/>
    <w:rsid w:val="00BE65CC"/>
    <w:rsid w:val="00BF2B1F"/>
    <w:rsid w:val="00C1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18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5CC"/>
    <w:rPr>
      <w:rFonts w:ascii="Times New Roman" w:eastAsia="Times New Roman" w:hAnsi="Times New Roman" w:cs="Times New Roman"/>
      <w:sz w:val="28"/>
      <w:szCs w:val="28"/>
      <w:lang w:val="en-GB"/>
    </w:rPr>
  </w:style>
  <w:style w:type="paragraph" w:styleId="Heading1">
    <w:name w:val="heading 1"/>
    <w:basedOn w:val="Normal"/>
    <w:next w:val="Normal"/>
    <w:link w:val="Heading1Char"/>
    <w:uiPriority w:val="9"/>
    <w:qFormat/>
    <w:rsid w:val="00BE65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E65CC"/>
    <w:pPr>
      <w:keepNext/>
      <w:spacing w:before="240" w:after="240"/>
      <w:ind w:right="99"/>
      <w:jc w:val="center"/>
      <w:outlineLvl w:val="1"/>
    </w:pPr>
    <w:rPr>
      <w:rFonts w:ascii=".VnTimeH" w:hAnsi=".VnTimeH"/>
      <w:b/>
      <w:bCs/>
      <w:lang w:val="en-US"/>
    </w:rPr>
  </w:style>
  <w:style w:type="paragraph" w:styleId="Heading4">
    <w:name w:val="heading 4"/>
    <w:basedOn w:val="Normal"/>
    <w:next w:val="Normal"/>
    <w:link w:val="Heading4Char"/>
    <w:qFormat/>
    <w:rsid w:val="006D1FC6"/>
    <w:pPr>
      <w:keepNext/>
      <w:spacing w:before="240" w:after="60"/>
      <w:outlineLvl w:val="3"/>
    </w:pPr>
    <w:rPr>
      <w:rFonts w:ascii="Calibri" w:hAnsi="Calibri"/>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5CC"/>
    <w:rPr>
      <w:rFonts w:ascii=".VnTimeH" w:eastAsia="Times New Roman" w:hAnsi=".VnTimeH" w:cs="Times New Roman"/>
      <w:b/>
      <w:bCs/>
      <w:sz w:val="28"/>
      <w:szCs w:val="28"/>
    </w:rPr>
  </w:style>
  <w:style w:type="character" w:customStyle="1" w:styleId="Heading1Char">
    <w:name w:val="Heading 1 Char"/>
    <w:basedOn w:val="DefaultParagraphFont"/>
    <w:link w:val="Heading1"/>
    <w:uiPriority w:val="9"/>
    <w:rsid w:val="00BE65CC"/>
    <w:rPr>
      <w:rFonts w:asciiTheme="majorHAnsi" w:eastAsiaTheme="majorEastAsia" w:hAnsiTheme="majorHAnsi" w:cstheme="majorBidi"/>
      <w:color w:val="2F5496" w:themeColor="accent1" w:themeShade="BF"/>
      <w:sz w:val="32"/>
      <w:szCs w:val="32"/>
      <w:lang w:val="en-GB"/>
    </w:rPr>
  </w:style>
  <w:style w:type="character" w:customStyle="1" w:styleId="Heading4Char">
    <w:name w:val="Heading 4 Char"/>
    <w:basedOn w:val="DefaultParagraphFont"/>
    <w:link w:val="Heading4"/>
    <w:rsid w:val="006D1FC6"/>
    <w:rPr>
      <w:rFonts w:ascii="Calibri" w:eastAsia="Times New Roman" w:hAnsi="Calibri" w:cs="Times New Roman"/>
      <w:b/>
      <w:bCs/>
      <w:sz w:val="28"/>
      <w:szCs w:val="28"/>
      <w:lang w:val="vi-VN"/>
    </w:rPr>
  </w:style>
  <w:style w:type="character" w:customStyle="1" w:styleId="apple-converted-space">
    <w:name w:val="apple-converted-space"/>
    <w:basedOn w:val="DefaultParagraphFont"/>
    <w:rsid w:val="008F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95635">
      <w:bodyDiv w:val="1"/>
      <w:marLeft w:val="0"/>
      <w:marRight w:val="0"/>
      <w:marTop w:val="0"/>
      <w:marBottom w:val="0"/>
      <w:divBdr>
        <w:top w:val="none" w:sz="0" w:space="0" w:color="auto"/>
        <w:left w:val="none" w:sz="0" w:space="0" w:color="auto"/>
        <w:bottom w:val="none" w:sz="0" w:space="0" w:color="auto"/>
        <w:right w:val="none" w:sz="0" w:space="0" w:color="auto"/>
      </w:divBdr>
      <w:divsChild>
        <w:div w:id="545871506">
          <w:marLeft w:val="0"/>
          <w:marRight w:val="0"/>
          <w:marTop w:val="0"/>
          <w:marBottom w:val="0"/>
          <w:divBdr>
            <w:top w:val="none" w:sz="0" w:space="0" w:color="auto"/>
            <w:left w:val="none" w:sz="0" w:space="0" w:color="auto"/>
            <w:bottom w:val="none" w:sz="0" w:space="0" w:color="auto"/>
            <w:right w:val="none" w:sz="0" w:space="0" w:color="auto"/>
          </w:divBdr>
        </w:div>
        <w:div w:id="1295214685">
          <w:marLeft w:val="0"/>
          <w:marRight w:val="0"/>
          <w:marTop w:val="0"/>
          <w:marBottom w:val="0"/>
          <w:divBdr>
            <w:top w:val="none" w:sz="0" w:space="0" w:color="auto"/>
            <w:left w:val="none" w:sz="0" w:space="0" w:color="auto"/>
            <w:bottom w:val="none" w:sz="0" w:space="0" w:color="auto"/>
            <w:right w:val="none" w:sz="0" w:space="0" w:color="auto"/>
          </w:divBdr>
        </w:div>
        <w:div w:id="1482308464">
          <w:marLeft w:val="0"/>
          <w:marRight w:val="0"/>
          <w:marTop w:val="0"/>
          <w:marBottom w:val="0"/>
          <w:divBdr>
            <w:top w:val="none" w:sz="0" w:space="0" w:color="auto"/>
            <w:left w:val="none" w:sz="0" w:space="0" w:color="auto"/>
            <w:bottom w:val="none" w:sz="0" w:space="0" w:color="auto"/>
            <w:right w:val="none" w:sz="0" w:space="0" w:color="auto"/>
          </w:divBdr>
        </w:div>
        <w:div w:id="1093237382">
          <w:marLeft w:val="0"/>
          <w:marRight w:val="0"/>
          <w:marTop w:val="0"/>
          <w:marBottom w:val="0"/>
          <w:divBdr>
            <w:top w:val="none" w:sz="0" w:space="0" w:color="auto"/>
            <w:left w:val="none" w:sz="0" w:space="0" w:color="auto"/>
            <w:bottom w:val="none" w:sz="0" w:space="0" w:color="auto"/>
            <w:right w:val="none" w:sz="0" w:space="0" w:color="auto"/>
          </w:divBdr>
        </w:div>
        <w:div w:id="36129103">
          <w:marLeft w:val="0"/>
          <w:marRight w:val="0"/>
          <w:marTop w:val="0"/>
          <w:marBottom w:val="0"/>
          <w:divBdr>
            <w:top w:val="none" w:sz="0" w:space="0" w:color="auto"/>
            <w:left w:val="none" w:sz="0" w:space="0" w:color="auto"/>
            <w:bottom w:val="none" w:sz="0" w:space="0" w:color="auto"/>
            <w:right w:val="none" w:sz="0" w:space="0" w:color="auto"/>
          </w:divBdr>
        </w:div>
        <w:div w:id="1609460345">
          <w:marLeft w:val="0"/>
          <w:marRight w:val="0"/>
          <w:marTop w:val="0"/>
          <w:marBottom w:val="0"/>
          <w:divBdr>
            <w:top w:val="none" w:sz="0" w:space="0" w:color="auto"/>
            <w:left w:val="none" w:sz="0" w:space="0" w:color="auto"/>
            <w:bottom w:val="none" w:sz="0" w:space="0" w:color="auto"/>
            <w:right w:val="none" w:sz="0" w:space="0" w:color="auto"/>
          </w:divBdr>
          <w:divsChild>
            <w:div w:id="129171825">
              <w:marLeft w:val="0"/>
              <w:marRight w:val="0"/>
              <w:marTop w:val="0"/>
              <w:marBottom w:val="0"/>
              <w:divBdr>
                <w:top w:val="none" w:sz="0" w:space="0" w:color="auto"/>
                <w:left w:val="none" w:sz="0" w:space="0" w:color="auto"/>
                <w:bottom w:val="none" w:sz="0" w:space="0" w:color="auto"/>
                <w:right w:val="none" w:sz="0" w:space="0" w:color="auto"/>
              </w:divBdr>
            </w:div>
            <w:div w:id="1638216614">
              <w:marLeft w:val="0"/>
              <w:marRight w:val="0"/>
              <w:marTop w:val="0"/>
              <w:marBottom w:val="0"/>
              <w:divBdr>
                <w:top w:val="none" w:sz="0" w:space="0" w:color="auto"/>
                <w:left w:val="none" w:sz="0" w:space="0" w:color="auto"/>
                <w:bottom w:val="none" w:sz="0" w:space="0" w:color="auto"/>
                <w:right w:val="none" w:sz="0" w:space="0" w:color="auto"/>
              </w:divBdr>
            </w:div>
            <w:div w:id="2067298393">
              <w:marLeft w:val="0"/>
              <w:marRight w:val="0"/>
              <w:marTop w:val="0"/>
              <w:marBottom w:val="0"/>
              <w:divBdr>
                <w:top w:val="none" w:sz="0" w:space="0" w:color="auto"/>
                <w:left w:val="none" w:sz="0" w:space="0" w:color="auto"/>
                <w:bottom w:val="none" w:sz="0" w:space="0" w:color="auto"/>
                <w:right w:val="none" w:sz="0" w:space="0" w:color="auto"/>
              </w:divBdr>
            </w:div>
            <w:div w:id="674845061">
              <w:marLeft w:val="0"/>
              <w:marRight w:val="0"/>
              <w:marTop w:val="0"/>
              <w:marBottom w:val="0"/>
              <w:divBdr>
                <w:top w:val="none" w:sz="0" w:space="0" w:color="auto"/>
                <w:left w:val="none" w:sz="0" w:space="0" w:color="auto"/>
                <w:bottom w:val="none" w:sz="0" w:space="0" w:color="auto"/>
                <w:right w:val="none" w:sz="0" w:space="0" w:color="auto"/>
              </w:divBdr>
            </w:div>
            <w:div w:id="1999456198">
              <w:marLeft w:val="0"/>
              <w:marRight w:val="0"/>
              <w:marTop w:val="0"/>
              <w:marBottom w:val="0"/>
              <w:divBdr>
                <w:top w:val="none" w:sz="0" w:space="0" w:color="auto"/>
                <w:left w:val="none" w:sz="0" w:space="0" w:color="auto"/>
                <w:bottom w:val="none" w:sz="0" w:space="0" w:color="auto"/>
                <w:right w:val="none" w:sz="0" w:space="0" w:color="auto"/>
              </w:divBdr>
            </w:div>
            <w:div w:id="234361203">
              <w:marLeft w:val="0"/>
              <w:marRight w:val="0"/>
              <w:marTop w:val="0"/>
              <w:marBottom w:val="0"/>
              <w:divBdr>
                <w:top w:val="none" w:sz="0" w:space="0" w:color="auto"/>
                <w:left w:val="none" w:sz="0" w:space="0" w:color="auto"/>
                <w:bottom w:val="none" w:sz="0" w:space="0" w:color="auto"/>
                <w:right w:val="none" w:sz="0" w:space="0" w:color="auto"/>
              </w:divBdr>
            </w:div>
            <w:div w:id="2109689668">
              <w:marLeft w:val="0"/>
              <w:marRight w:val="0"/>
              <w:marTop w:val="0"/>
              <w:marBottom w:val="0"/>
              <w:divBdr>
                <w:top w:val="none" w:sz="0" w:space="0" w:color="auto"/>
                <w:left w:val="none" w:sz="0" w:space="0" w:color="auto"/>
                <w:bottom w:val="none" w:sz="0" w:space="0" w:color="auto"/>
                <w:right w:val="none" w:sz="0" w:space="0" w:color="auto"/>
              </w:divBdr>
            </w:div>
            <w:div w:id="150099161">
              <w:marLeft w:val="0"/>
              <w:marRight w:val="0"/>
              <w:marTop w:val="0"/>
              <w:marBottom w:val="0"/>
              <w:divBdr>
                <w:top w:val="none" w:sz="0" w:space="0" w:color="auto"/>
                <w:left w:val="none" w:sz="0" w:space="0" w:color="auto"/>
                <w:bottom w:val="none" w:sz="0" w:space="0" w:color="auto"/>
                <w:right w:val="none" w:sz="0" w:space="0" w:color="auto"/>
              </w:divBdr>
            </w:div>
            <w:div w:id="516113579">
              <w:marLeft w:val="0"/>
              <w:marRight w:val="0"/>
              <w:marTop w:val="0"/>
              <w:marBottom w:val="0"/>
              <w:divBdr>
                <w:top w:val="none" w:sz="0" w:space="0" w:color="auto"/>
                <w:left w:val="none" w:sz="0" w:space="0" w:color="auto"/>
                <w:bottom w:val="none" w:sz="0" w:space="0" w:color="auto"/>
                <w:right w:val="none" w:sz="0" w:space="0" w:color="auto"/>
              </w:divBdr>
            </w:div>
            <w:div w:id="1644893898">
              <w:marLeft w:val="0"/>
              <w:marRight w:val="0"/>
              <w:marTop w:val="0"/>
              <w:marBottom w:val="0"/>
              <w:divBdr>
                <w:top w:val="none" w:sz="0" w:space="0" w:color="auto"/>
                <w:left w:val="none" w:sz="0" w:space="0" w:color="auto"/>
                <w:bottom w:val="none" w:sz="0" w:space="0" w:color="auto"/>
                <w:right w:val="none" w:sz="0" w:space="0" w:color="auto"/>
              </w:divBdr>
            </w:div>
            <w:div w:id="12594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THÔNG TƯ</vt:lpstr>
      <vt:lpstr>Số: 15 /2014/TT-BGDĐT</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Việt anh</dc:creator>
  <cp:keywords/>
  <dc:description/>
  <cp:lastModifiedBy>nguyễn Việt anh</cp:lastModifiedBy>
  <cp:revision>2</cp:revision>
  <dcterms:created xsi:type="dcterms:W3CDTF">2018-07-26T08:04:00Z</dcterms:created>
  <dcterms:modified xsi:type="dcterms:W3CDTF">2018-07-26T08:04:00Z</dcterms:modified>
</cp:coreProperties>
</file>